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99 vom 22. Februar 2022</w:t>
      </w:r>
    </w:p>
    <w:p>
      <w:r>
        <w:t>VS Kantonsgericht, 2022-02-22, FR</w:t>
      </w:r>
    </w:p>
    <w:p>
      <w:r>
        <w:rPr>
          <w:b/>
        </w:rPr>
        <w:t xml:space="preserve">Quelle: </w:t>
      </w:r>
      <w:r>
        <w:t>https://mcp.opencaselaw.ch/entscheid/vs_gerichte_P1 19 99</w:t>
      </w:r>
    </w:p>
    <w:p>
      <w:r>
        <w:t>FR: VS_GERICHTE P1 19 99 du 22 février 2022</w:t>
      </w:r>
    </w:p>
    <w:p>
      <w:r>
        <w:t>IT: VS_GERICHTE P1 19 99 del 22 febbraio 2022</w:t>
      </w:r>
    </w:p>
    <w:p>
      <w:pPr>
        <w:pStyle w:val="Heading2"/>
      </w:pPr>
      <w:r>
        <w:t>Regeste</w:t>
      </w:r>
    </w:p>
    <w:p>
      <w:r>
        <w:t>P1 19 99 JUGEMENT DU 22 FÉVRIER 2022 Tribunal cantonal du Valais Cour pénale II Bertrand Dayer, juge ; Angèle de Preux-Bersier, greffière ad hoc en la cause SERVICE DE LA CIRCULATION ROUTIÈRE ET DE LA NAVIGATION (SCN), appelé contre X _________, prévenu appelant, représenté par Maître Julien Ribordy, (violation simple des règles de la circulation [art. 90 al. 1 LCR]) appel contre le jugement du juge IV du district de Sion du 6 décembre 2019</w:t>
      </w:r>
    </w:p>
    <w:p>
      <w:pPr>
        <w:pStyle w:val="Heading2"/>
      </w:pPr>
      <w:r>
        <w:t>Erwägungen</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que le pouvoir d'examen de l'autorité d'appel est limité à l'arbitraire en ce qui concerne l'établissement des faits. Celle-ci peut, en revanche, revoir librement le droit (arrêt 6B_426/2019 du 31 juillet 2019 consid. 1.1 et les références citées). Pour qu'il y ait arbitraire, il ne suffit pas que la décision attaquée apparaisse discutable ou même critiquable ; il faut qu'elle soit manifestement insoutenable et cela non seulement dans sa motivation, mais aussi dans son résultat (ATF 145 IV 154 consid. 1.1).</w:t>
      </w:r>
    </w:p>
    <w:p>
      <w:r>
        <w:t>- 5 - Le grief d'arbitraire doit être invoqué et motivé de façon précise. L'appelant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dans le cadre d'un appel pénal ordinaire. Les critiques de nature appellatoire sont irrecevables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w:t>
      </w:r>
    </w:p>
    <w:p>
      <w:r>
        <w:rPr>
          <w:b/>
        </w:rPr>
        <w:t>E. 3</w:t>
      </w:r>
    </w:p>
    <w:p>
      <w:r>
        <w:t>En l’espèce, l’appelant conteste avoir roulé à 74 km/h, se prévalant d’une vitesse de 60 km/h, soit un dépassement de celle autorisée de 10 km/h.</w:t>
      </w:r>
    </w:p>
    <w:p>
      <w:r>
        <w:rPr>
          <w:b/>
        </w:rPr>
        <w:t>E. 3.1</w:t>
      </w:r>
    </w:p>
    <w:p>
      <w:r>
        <w:t>Le premier juge a exposé que la vitesse avait été mesurée, le 26 mars 2019, à l’aide d’un radar laser de type « TruCam Laser Technology LTI 20-20, Nr.xxx, homologation METAS yyy », dont la fiabilité était établie, puisqu’il avait fait l’objet d’une vérification par l’Institut fédéral de métrologie METAS le 5 novembre 2018, valable jusqu’au 30 novembre 2019. En outre, il avait été correctement utilisé, l’agent qui avait effectué le contrôle de vitesse ayant suivi une formation sur le système « LTI TruCam 20/20 » et disposant des connaissances nécessaires. De plus, la mesure avait été prise frontalement à une distance de 113.9 mètres, supérieure à la distance minimale de 15 mètres (mode vitesse ou continu) ou 60 mètres (mode météo) requise par le fabriquant et comprise dans la portée maximum de 1200 mètres du radar, alors que le lieu d’interception se trouvait à 300 mètres du contrôle. Le juge de district a également relevé l’absence de véhicule aux alentours ayant pu fausser la mesure en se fondant sur une photographie prise au moment des faits, laquelle montrait le camion de l’appelant au milieu de l’image et des véhicules en plan secondaire circulant tous en sens inverse, de sorte qu’une éventuelle interférence était exclue. Finalement, la vue graphique tirée du tachygraphe numérique du camion conduit par l’appelant indiquait une vitesse approximative de 75 km/h aux alentours de 17h10, suivie d’un fort ralentissement puis d’un arrêt, corroborant ainsi le contrôle de vitesse effectué par la police (jugement entrepris, consid. 1.2).</w:t>
      </w:r>
    </w:p>
    <w:p>
      <w:r>
        <w:t>- 6 -</w:t>
      </w:r>
    </w:p>
    <w:p>
      <w:r>
        <w:rPr>
          <w:b/>
        </w:rPr>
        <w:t>E. 3.2</w:t>
      </w:r>
    </w:p>
    <w:p>
      <w:r>
        <w:t>L’appelant reproche au juge de district de ne pas avoir procédé à une analyse plus approfondie de la vue graphique du véhicule, ni à des recherches complémentaires sur la signification des couleurs utilisées sur celle-ci. Il critique également le fait que la fiabilité du moyen de mesure par le biais du pistolet radar a été tenue pour établie, l’autorité inférieure n’ayant, selon lui, pris en considération ni la mauvaise qualité de la photographie radar, ni une possible erreur humaine, ni, enfin, une éventuelle interférence avec d’autres véhicules. Force est de constater que, sauf à se référer à une pièce nouvelle irrecevable qui, au demeurant, aurait pu aisément être requise et déposée en cause en première instance, l’appelant ne démontre pas, en se référant à des preuves que le juge de district aurait arbitrairement omises ou dont l’administration aurait conduit à des constatations insoutenables, que l’état de fait retenu dans le jugement entrepris serait absolument inadmissible. En tout état, il ressort de l’examen du jugement de première instance que le juge de district a bel et bien analysé l’ensemble des points contestés par le prévenu (consid. 3.1 ci-dessus). Appelé à compléter la motivation de son mémoire d’appel, celui-ci s’est limité à développer les arguments invoqués précédemment sans toutefois faire valoir l’arbitraire ni démontrer le caractère manifestement inexact des éléments retenus par le premier juge. Une telle argumentation n’étant pas admissible sous l’angle de l’article 398 al. 4 CPP, le juge soussigné se fondera exclusivement sur les faits établis par l’autorité précédente, lesquels peuvent être rappelés comme suit.</w:t>
      </w:r>
    </w:p>
    <w:p>
      <w:r>
        <w:rPr>
          <w:b/>
        </w:rPr>
        <w:t>E. 4.1</w:t>
      </w:r>
    </w:p>
    <w:p>
      <w:r>
        <w:t>Le 26 mars 2019, à 17h11, l’appelant a été contrôlé au volant du camion de marque B _________ et de catégorie C, immatriculé zzz, alors qu'il circulait depuis le centre-ville de A _________ en direction de C _________, sur la D _________. Il a été intercepté 300 mètres plus loin du lieu de contrôle. La police a mesuré une vitesse de 74 km/h, alors que la vitesse autorisée sur ce tronçon est limitée à 50 km/h. Il faisait beau, la chaussée était sèche et le trafic avait une densité moyenne. La police a effectué la mesure à l'aide d'un système cinémométrique laser (DETEC B8) de type « TruCam LTI 20/20 ». Le dépassement net, après déduction de la marge de tolérance, est de 21 km/h (dos. p. 1 et p. 5-8).</w:t>
      </w:r>
    </w:p>
    <w:p>
      <w:r>
        <w:t>- 7 -</w:t>
      </w:r>
    </w:p>
    <w:p>
      <w:r>
        <w:rPr>
          <w:b/>
        </w:rPr>
        <w:t>E. 4.2</w:t>
      </w:r>
    </w:p>
    <w:p>
      <w:r>
        <w:t>Actuellement âgé de 53 ans, l’appelant est séparé et père de deux enfants mineurs, E _________ né en 2010 et F _________ née en 2013. A l’époque où le premier juge a statué, il était gérant de la société G _________ Sàrl, travaillait également au sein de cette entreprise en tant que transporteur et percevait un revenu mensuel net de l'ordre de 3’500 francs (dos. p. 75, rép. 4). Il payait un loyer de 1'500 fr. par mois (dos. p. 52) et versait, provisoirement, à titre de contribution à l'entretien de ses enfants un montant de 1’500 francs (dos. p. 47 et 48). La part non subventionnée de sa prime d'assurance maladie de base était de 15 francs [montant arrondi ; 264 fr. 80 - (411 x 68 %) ; dos. p. 53 à 55 et p. 75, rép. 6]. Ses frais de transport étaient entièrement pris en charge par la société susmentionnée. Ses impôts mensuels étaient estimés à 25 francs (dos. p. 75, rép. 7). Il ressort des pièces déposées en appel que sa situation financière ne s’est pas sensiblement modifiée. Ainsi, il perçoit un salaire mensuel net de 4'203 fr. 75. La contribution mensuelle qu’il verse pour l’entretien de ses enfants s’élève toujours à 1'500 francs. Il paye un montant de 1'500 fr. à titre de loyer. L’appelant a également produit un certificat d’assurance 2022 indiquant que sa prime d’assurance-maladie mensuelle s’élève à 331 fr. 75. Il convient de tenir compte, en outre, d’un montant estimé à 400 fr. à titre d’impôts mensuels. L’appelant ne figure pas au casier judiciaire suisse. 5.1 Chacun doit, dans la circulation, se comporter de manière à ne pas gêner ni mettre en danger ceux qui utilisent la route conformément aux règles établies (art. 26 al. 1 LCR). Chacun est de surcroît tenu de se conformer aux signaux et aux marques ainsi qu’aux ordres de la police (art. 27 al. 1 LCR). La vitesse doit toujours être adaptée aux circonstances (art. 32 al. 1 LCR). Lorsque les conditions de route, de circulation et de visibilité sont favorables, la vitesse maximale générale des véhicules peut atteindre 50 km/h dans les localités (art. 32 al. 2 LCR cum art. 4a al. 1 let. a OCR) et 80 km/h hors des localités, à l'exception des semi- autoroutes et des autoroutes (art. 32 al. 2 LCR cum art. 4a al. 1 let. b OCR). Selon l’article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w:t>
      </w:r>
    </w:p>
    <w:p>
      <w:r>
        <w:t>- 8 - Un dépassement de 1 à 15 km/h, à l’intérieur d’une localité, de la vitesse maximale signalée, définie à titre général ou pour certains genres de véhicules, après déduction de la marge d'erreur inhérente aux appareils et aux mesures fixée par l'OFROU, est punie d'une amende d'ordre (art. 303.1 de l'annexe 1 de l’OAO). Dans le domaine des excès de vitesse, la jurisprudence a été amenée à fixer des règles précises afin d'assurer l'égalité de traitement. Ainsi, le cas est objectivement grave au sens de l'article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et les références citées). Il est en revanche de moyenne gravité lorsque le dépassement de la vitesse autorisée est, respectivement, de 21 à 24 km/h (ATF 126 II 196 consid. 2a), de 26 à 29 km/h et de 31 à 34 km/h (ATF 128 II 131 consid. 2a). 5.2 En l’espèce, l’appelant roulait à l’intérieur d’une localité, après déduction de la marge de sécurité, à 21 km/h au-dessus de la vitesse autorisée, ce qui correspond à une infraction moyennement grave. Il a ainsi commis une violation simple des règles de la circulation. Du point de vue subjectif, il a dépassé la vitesse prescrite en ayant conscience tant de la limitation locale – puisqu’il a été contrôlé sur un tronçon se trouvant à l’intérieur de la ville de A _________ – que du fait qu’il roulait à une vitesse nettement excessive, ce qui est d’autant plus certain qu’il exerce à titre professionnel en tant que chauffeur poids lourd. Il s'est ainsi rendu coupable de violation des règles de la circulation routière (art. 90 al. 1 LCR). 6.1 Aux termes de l’article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- 9 -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sa vulnérabilité face à la peine, de même que son comportement après l'acte et au cours de la procédure pénale (ATF 141 IV 61 consid. 6.1.1).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 Il incombe au juge d'indiquer comment et dans quelle mesure il a tenu compte de cette circonstance (ATF 117 IV 124 consid. 3 et 4). 6.2 La culpabilité de l’appelant est moyenne, au vu de l’excès de vitesse commis et du comportement qu’il a adopté. Le juge de céans partage en outre la conviction du premier juge sur le fait que d’éventuel élément en lien avec les circonstances concrètes ou la bonne réputation de conducteur ne peuvent être pris en considération en l’espèce (jugement entrepris, consid. 5.2). Le prévenu, dont la responsabilité pénale est entière, ne peut se prévaloir d’aucune circonstance atténuante (art. 48 CP). Cela étant, il s’est écoulé plus de deux ans et deux mois depuis le jugement entrepris, de sorte qu’il y a lieu de retenir une violation du principe de célérité en appel, ce qui justifie une réduction de la peine. 6.3 Au vu des circonstances du cas d’espèce, de la gravité moyenne de la faute commise et de la situation personnelle du prévenu, le juge soussigné estime que l’amende de 400 fr. arrêtée par le premier juge serait adéquate pour sanctionner son comportement.</w:t>
      </w:r>
    </w:p>
    <w:p>
      <w:r>
        <w:t>- 10 - La violation du principe de célérité commande toutefois une réduction de 100 fr., de sorte que le prévenu est condamné à une amende de 300 francs. En cas de non-paiement de celle-ci, la peine privative de liberté de substitution est fixée à 3 jours (art. 106 al. 2 CP). 7.1 L'appelant n'a contesté le sort des frais que dans la mesure où il sollicitait son acquittement. Condamné, il supporte les frais d'instruction et de première instance (art. 426 al. 1 CPP), dont le montant total de 567 francs, non entrepris et fixé conformément aux dispositions applicables, est confirmé. 7.2 Le sort des frais de la procédure d'appel est réglé à l'article 428 al. 1 CPP, lequel prévoit leur prise en charge par les parties dans la mesure où elles ont obtenu gain de cause ou succombé. L'émolument est compris entre 380 et 6000 francs (art. 22 let. f LTar). Lorsqu'une partie obtient une décision qui lui est plus favorable, les frais de la procédure peuvent malgré tout être mis à sa charge lorsque les conditions qui lui ont permis d'obtenir gain de cause n'ont été réalisées que dans la procédure de recours (art. 428 al. 2 let. a CPP). En l’espèce, la cause présentait un degré de difficulté usuel. Eu égard, en outre, aux principes de l'équivalence des prestations et de la couverture des frais, ainsi qu'à la situation pécuniaire de l’appelant, les frais de justice sont fixés à 600 fr., débours compris. La violation du principe de célérité est intervenue après le dépôt de l'appel. Elle a certes conduit à réduire la mesure de la peine, mais non à prononcer un classement (sur le principe du caractère accessoire des coûts ; ATF 143 IV 373 consid. 1.4.2). Nonobstant la réforme du jugement querellé, les frais de seconde instance sont dès lors mis à la charge de l’appelant, qui supporte ses dépens (art. 428 al. 2 let. a CPP). Par ces motifs,</w:t>
      </w:r>
    </w:p>
    <w:p>
      <w:r>
        <w:t>- 11 -</w:t>
      </w:r>
    </w:p>
    <w:p>
      <w:r>
        <w:t>Prononce L’appel est très partiellement admis ; en conséquence, il est statué : 1. X _________, reconnu coupable de violation simple des règles de la circulation routière (art. 90 al. 1 LCR en relation avec les art. 27 al. 1 LCR et art. 4a al. 1 let. a OCR), est condamné à une amende de 300 francs. En cas de non-paiement fautif de l’amende, la peine privative de liberté de substitution est fixée à trois jours (art. 106 al. 2 CP). 2. Les frais d’instruction, par 67 fr., de jugement, par 500 fr., et d’appel, par 600 fr., sont mis à la charge de X _________. Sion, le 22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